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w:t>
      </w:r>
      <w:r>
        <w:rPr>
          <w:rFonts w:hint="eastAsia" w:ascii="宋体" w:hAnsi="宋体" w:cs="仿宋_GB2312"/>
          <w:color w:val="auto"/>
          <w:sz w:val="24"/>
          <w:lang w:eastAsia="zh-CN"/>
        </w:rPr>
        <w:t>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sz w:val="28"/>
          <w:szCs w:val="28"/>
        </w:rPr>
        <w:t>(3)</w:t>
      </w:r>
      <w:r>
        <w:rPr>
          <w:rFonts w:hint="eastAsia" w:ascii="宋体" w:hAnsi="宋体"/>
          <w:color w:val="auto"/>
          <w:sz w:val="28"/>
          <w:szCs w:val="28"/>
        </w:rPr>
        <w:t>供应商依法缴纳社会保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4</w:t>
      </w:r>
      <w:r>
        <w:rPr>
          <w:rFonts w:hint="eastAsia" w:ascii="宋体" w:hAnsi="宋体"/>
          <w:color w:val="auto"/>
          <w:sz w:val="28"/>
          <w:szCs w:val="28"/>
        </w:rPr>
        <w:t>月至202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4</w:t>
      </w:r>
      <w:r>
        <w:rPr>
          <w:rFonts w:hint="eastAsia" w:ascii="宋体" w:hAnsi="宋体"/>
          <w:color w:val="auto"/>
          <w:sz w:val="28"/>
          <w:szCs w:val="28"/>
        </w:rPr>
        <w:t>月内</w:t>
      </w:r>
      <w:r>
        <w:rPr>
          <w:rFonts w:hint="eastAsia" w:ascii="宋体" w:hAnsi="宋体"/>
          <w:color w:val="auto"/>
          <w:sz w:val="28"/>
          <w:szCs w:val="28"/>
          <w:lang w:val="en-US" w:eastAsia="zh-CN"/>
        </w:rPr>
        <w:t>任意1</w:t>
      </w:r>
      <w:r>
        <w:rPr>
          <w:rFonts w:hint="eastAsia" w:ascii="宋体" w:hAnsi="宋体"/>
          <w:color w:val="auto"/>
          <w:sz w:val="28"/>
          <w:szCs w:val="28"/>
        </w:rPr>
        <w:t>个月的依法缴纳社会保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r>
        <w:rPr>
          <w:rFonts w:hint="eastAsia" w:ascii="宋体" w:hAnsi="宋体"/>
          <w:color w:val="auto"/>
          <w:sz w:val="28"/>
          <w:szCs w:val="28"/>
          <w:lang w:eastAsia="zh-CN"/>
        </w:rPr>
        <w:t>（</w:t>
      </w:r>
      <w:r>
        <w:rPr>
          <w:rFonts w:hint="eastAsia" w:ascii="宋体" w:hAnsi="宋体"/>
          <w:color w:val="auto"/>
          <w:sz w:val="28"/>
          <w:szCs w:val="28"/>
          <w:lang w:val="en-US" w:eastAsia="zh-CN"/>
        </w:rPr>
        <w:t>包含职工基本养老保险、职工基本医疗保险、工伤保险、失业保险</w:t>
      </w:r>
      <w:r>
        <w:rPr>
          <w:rFonts w:hint="eastAsia" w:ascii="宋体" w:hAnsi="宋体"/>
          <w:color w:val="auto"/>
          <w:sz w:val="28"/>
          <w:szCs w:val="28"/>
          <w:lang w:eastAsia="zh-CN"/>
        </w:rPr>
        <w:t>）</w:t>
      </w:r>
      <w:r>
        <w:rPr>
          <w:rFonts w:hint="eastAsia" w:ascii="宋体" w:hAnsi="宋体"/>
          <w:color w:val="auto"/>
          <w:sz w:val="28"/>
          <w:szCs w:val="28"/>
        </w:rPr>
        <w:t>的缴费凭证（专用收据或者社会保险缴纳清单）复印件；依法不需要缴纳社会保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金的，必须提供相应文件证明不需要缴纳社会保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color w:val="0000FF"/>
          <w:sz w:val="28"/>
          <w:szCs w:val="28"/>
        </w:rPr>
        <w:t>202</w:t>
      </w:r>
      <w:r>
        <w:rPr>
          <w:rFonts w:hint="eastAsia" w:ascii="宋体" w:hAnsi="宋体"/>
          <w:color w:val="0000FF"/>
          <w:sz w:val="28"/>
          <w:szCs w:val="28"/>
          <w:lang w:val="en-US" w:eastAsia="zh-CN"/>
        </w:rPr>
        <w:t>4</w:t>
      </w:r>
      <w:r>
        <w:rPr>
          <w:rFonts w:hint="eastAsia" w:ascii="宋体" w:hAnsi="宋体"/>
          <w:sz w:val="28"/>
          <w:szCs w:val="28"/>
        </w:rPr>
        <w:t>年度的审计报告复印件</w:t>
      </w:r>
      <w:r>
        <w:rPr>
          <w:rFonts w:hint="eastAsia" w:ascii="宋体" w:hAnsi="宋体"/>
          <w:sz w:val="28"/>
          <w:szCs w:val="28"/>
          <w:lang w:eastAsia="zh-CN"/>
        </w:rPr>
        <w:t>，</w:t>
      </w:r>
      <w:r>
        <w:rPr>
          <w:rFonts w:hint="eastAsia" w:ascii="宋体" w:hAnsi="宋体"/>
          <w:b/>
          <w:bCs/>
          <w:sz w:val="28"/>
          <w:szCs w:val="28"/>
        </w:rPr>
        <w:t>或其开户银行出具的2025年1月以后的资信证明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4"/>
              </w:rPr>
              <w:t>项目</w:t>
            </w:r>
            <w:r>
              <w:rPr>
                <w:rFonts w:hint="eastAsia" w:ascii="宋体" w:hAnsi="宋体"/>
                <w:szCs w:val="21"/>
              </w:rPr>
              <w:t>名称</w:t>
            </w:r>
          </w:p>
        </w:tc>
        <w:tc>
          <w:tcPr>
            <w:tcW w:w="7655" w:type="dxa"/>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r>
              <w:rPr>
                <w:rFonts w:hint="eastAsia" w:ascii="宋体" w:hAnsi="宋体"/>
                <w:szCs w:val="21"/>
              </w:rPr>
              <w:t>报价（元）</w:t>
            </w:r>
          </w:p>
        </w:tc>
        <w:tc>
          <w:tcPr>
            <w:tcW w:w="7655" w:type="dxa"/>
            <w:noWrap w:val="0"/>
            <w:vAlign w:val="center"/>
          </w:tcPr>
          <w:p>
            <w:pPr>
              <w:tabs>
                <w:tab w:val="left" w:pos="5040"/>
              </w:tabs>
              <w:snapToGrid w:val="0"/>
              <w:ind w:firstLine="420" w:firstLineChars="200"/>
              <w:jc w:val="both"/>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eastAsia="zh-CN"/>
              </w:rPr>
              <w:t>服务期限</w:t>
            </w:r>
          </w:p>
        </w:tc>
        <w:tc>
          <w:tcPr>
            <w:tcW w:w="7655" w:type="dxa"/>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完成本项目全部内容所需费用的含税价（包含但</w:t>
      </w:r>
      <w:r>
        <w:rPr>
          <w:rFonts w:hint="eastAsia" w:ascii="宋体" w:hAnsi="宋体"/>
          <w:color w:val="auto"/>
          <w:sz w:val="24"/>
          <w:highlight w:val="none"/>
        </w:rPr>
        <w:t>不限于项目中的相关设备、劳务、管理、材料、维护、保险、利润、税金、政策性文件规定的各项费用及所有风险、责任等各项应有费用）。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sz w:val="24"/>
          <w:szCs w:val="24"/>
        </w:rPr>
      </w:pPr>
      <w:r>
        <w:rPr>
          <w:rFonts w:hAnsi="宋体"/>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tbl>
      <w:tblPr>
        <w:tblStyle w:val="11"/>
        <w:tblpPr w:leftFromText="180" w:rightFromText="180" w:vertAnchor="text" w:tblpX="-322" w:tblpY="992"/>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316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425" w:type="dxa"/>
          </w:tcPr>
          <w:p>
            <w:pPr>
              <w:numPr>
                <w:ilvl w:val="0"/>
                <w:numId w:val="0"/>
              </w:numPr>
              <w:jc w:val="center"/>
              <w:rPr>
                <w:rFonts w:hint="eastAsia"/>
                <w:b/>
                <w:sz w:val="32"/>
                <w:szCs w:val="32"/>
                <w:vertAlign w:val="baseline"/>
              </w:rPr>
            </w:pPr>
            <w:r>
              <w:rPr>
                <w:rFonts w:hint="eastAsia" w:ascii="仿宋" w:hAnsi="仿宋" w:eastAsia="仿宋" w:cs="仿宋"/>
                <w:b/>
                <w:bCs/>
                <w:color w:val="auto"/>
                <w:sz w:val="24"/>
                <w:highlight w:val="none"/>
              </w:rPr>
              <w:t>▲</w:t>
            </w:r>
            <w:r>
              <w:rPr>
                <w:rFonts w:hint="eastAsia"/>
                <w:b/>
                <w:sz w:val="32"/>
                <w:szCs w:val="32"/>
                <w:vertAlign w:val="baseline"/>
              </w:rPr>
              <w:t>技术要求</w:t>
            </w:r>
          </w:p>
        </w:tc>
        <w:tc>
          <w:tcPr>
            <w:tcW w:w="3169" w:type="dxa"/>
          </w:tcPr>
          <w:p>
            <w:pPr>
              <w:numPr>
                <w:ilvl w:val="0"/>
                <w:numId w:val="0"/>
              </w:numPr>
              <w:jc w:val="center"/>
              <w:rPr>
                <w:rFonts w:hint="default" w:eastAsia="宋体"/>
                <w:b/>
                <w:sz w:val="32"/>
                <w:szCs w:val="32"/>
                <w:vertAlign w:val="baseline"/>
                <w:lang w:val="en-US" w:eastAsia="zh-CN"/>
              </w:rPr>
            </w:pPr>
            <w:r>
              <w:rPr>
                <w:rFonts w:hint="default" w:eastAsia="宋体"/>
                <w:b/>
                <w:sz w:val="32"/>
                <w:szCs w:val="32"/>
                <w:vertAlign w:val="baseline"/>
                <w:lang w:val="en-US" w:eastAsia="zh-CN"/>
              </w:rPr>
              <w:t>具体响应</w:t>
            </w:r>
          </w:p>
        </w:tc>
        <w:tc>
          <w:tcPr>
            <w:tcW w:w="1256" w:type="dxa"/>
          </w:tcPr>
          <w:p>
            <w:pPr>
              <w:numPr>
                <w:ilvl w:val="0"/>
                <w:numId w:val="0"/>
              </w:numPr>
              <w:jc w:val="center"/>
              <w:rPr>
                <w:rFonts w:hint="default" w:eastAsia="宋体"/>
                <w:b/>
                <w:sz w:val="32"/>
                <w:szCs w:val="32"/>
                <w:vertAlign w:val="baseline"/>
                <w:lang w:val="en-US" w:eastAsia="zh-CN"/>
              </w:rPr>
            </w:pPr>
            <w:r>
              <w:rPr>
                <w:sz w:val="24"/>
                <w:szCs w:val="24"/>
                <w:lang w:val="en-US" w:eastAsia="zh-CN"/>
              </w:rPr>
              <w:t>技术偏离情况说明(＋/</w:t>
            </w:r>
            <w:r>
              <w:rPr>
                <w:rFonts w:hint="eastAsia"/>
                <w:sz w:val="24"/>
                <w:szCs w:val="24"/>
                <w:lang w:val="en-US" w:eastAsia="zh-CN"/>
              </w:rPr>
              <w:t>-</w:t>
            </w:r>
            <w:r>
              <w:rPr>
                <w:sz w:val="24"/>
                <w:szCs w:val="24"/>
                <w:lang w:val="en-US" w:eastAsia="zh-CN"/>
              </w:rPr>
              <w:t>/=)</w:t>
            </w:r>
          </w:p>
        </w:tc>
      </w:tr>
    </w:tbl>
    <w:p>
      <w:pPr>
        <w:numPr>
          <w:ilvl w:val="0"/>
          <w:numId w:val="0"/>
        </w:numPr>
        <w:jc w:val="center"/>
        <w:rPr>
          <w:rFonts w:hint="eastAsia"/>
          <w:b/>
          <w:sz w:val="32"/>
          <w:szCs w:val="32"/>
          <w:highlight w:val="none"/>
        </w:rPr>
      </w:pPr>
      <w:r>
        <w:rPr>
          <w:rFonts w:hint="eastAsia"/>
          <w:b/>
          <w:sz w:val="32"/>
          <w:szCs w:val="32"/>
          <w:highlight w:val="none"/>
          <w:lang w:val="en-US" w:eastAsia="zh-CN"/>
        </w:rPr>
        <w:t>9.技术要求</w:t>
      </w:r>
      <w:r>
        <w:rPr>
          <w:rFonts w:hint="eastAsia"/>
          <w:b/>
          <w:sz w:val="32"/>
          <w:szCs w:val="32"/>
          <w:highlight w:val="none"/>
        </w:rPr>
        <w:t>响应表</w:t>
      </w:r>
    </w:p>
    <w:tbl>
      <w:tblPr>
        <w:tblStyle w:val="10"/>
        <w:tblpPr w:leftFromText="180" w:rightFromText="180" w:vertAnchor="text" w:horzAnchor="page" w:tblpX="1465" w:tblpY="443"/>
        <w:tblOverlap w:val="never"/>
        <w:tblW w:w="8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31"/>
        <w:gridCol w:w="3176"/>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7" w:hRule="atLeast"/>
        </w:trPr>
        <w:tc>
          <w:tcPr>
            <w:tcW w:w="4431" w:type="dxa"/>
            <w:noWrap w:val="0"/>
            <w:vAlign w:val="top"/>
          </w:tcPr>
          <w:p>
            <w:pPr>
              <w:widowControl/>
              <w:spacing w:line="360" w:lineRule="auto"/>
              <w:jc w:val="left"/>
              <w:rPr>
                <w:rFonts w:hint="eastAsia" w:ascii="仿宋" w:hAnsi="仿宋" w:eastAsia="仿宋" w:cs="仿宋"/>
                <w:color w:val="auto"/>
                <w:highlight w:val="none"/>
              </w:rPr>
            </w:pPr>
            <w:r>
              <w:rPr>
                <w:rFonts w:hint="eastAsia" w:ascii="仿宋" w:hAnsi="仿宋" w:eastAsia="仿宋" w:cs="仿宋"/>
                <w:b w:val="0"/>
                <w:bCs/>
                <w:color w:val="auto"/>
                <w:sz w:val="24"/>
                <w:highlight w:val="none"/>
              </w:rPr>
              <w:t>1.对院内13个化粪池清运，室外排污渠、沙井（72个）污水管道清理疏通及巡检。</w:t>
            </w:r>
          </w:p>
        </w:tc>
        <w:tc>
          <w:tcPr>
            <w:tcW w:w="3176" w:type="dxa"/>
            <w:tcBorders>
              <w:righ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c>
          <w:tcPr>
            <w:tcW w:w="1253" w:type="dxa"/>
            <w:tcBorders>
              <w:lef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23" w:hRule="atLeast"/>
        </w:trPr>
        <w:tc>
          <w:tcPr>
            <w:tcW w:w="4431" w:type="dxa"/>
            <w:noWrap w:val="0"/>
            <w:vAlign w:val="top"/>
          </w:tcPr>
          <w:p>
            <w:pPr>
              <w:spacing w:line="480" w:lineRule="exact"/>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2.每个季度不少于一次全面清运，每月一次全面巡检，巡检包括化粪池及相关污水渠，污水管道，如巡检发现化粪池、沙井较满或者排污渠堵塞必须及时清理。</w:t>
            </w:r>
          </w:p>
        </w:tc>
        <w:tc>
          <w:tcPr>
            <w:tcW w:w="3176" w:type="dxa"/>
            <w:tcBorders>
              <w:righ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c>
          <w:tcPr>
            <w:tcW w:w="1253" w:type="dxa"/>
            <w:tcBorders>
              <w:lef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38" w:hRule="atLeast"/>
        </w:trPr>
        <w:tc>
          <w:tcPr>
            <w:tcW w:w="4431" w:type="dxa"/>
            <w:noWrap w:val="0"/>
            <w:vAlign w:val="top"/>
          </w:tcPr>
          <w:p>
            <w:pPr>
              <w:spacing w:line="360" w:lineRule="auto"/>
              <w:ind w:firstLine="480" w:firstLineChars="200"/>
              <w:outlineLvl w:val="9"/>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rPr>
              <w:t>3.遇突发情况（包括但不限于化粪池满溢，污水渠管道堵塞破裂等）要求1小时内人员设备到场处理</w:t>
            </w:r>
            <w:r>
              <w:rPr>
                <w:rFonts w:hint="eastAsia" w:ascii="仿宋" w:hAnsi="仿宋" w:eastAsia="仿宋" w:cs="仿宋"/>
                <w:b w:val="0"/>
                <w:bCs/>
                <w:color w:val="auto"/>
                <w:sz w:val="24"/>
                <w:highlight w:val="none"/>
                <w:lang w:eastAsia="zh-CN"/>
              </w:rPr>
              <w:t>，</w:t>
            </w:r>
            <w:r>
              <w:rPr>
                <w:rFonts w:hint="eastAsia" w:ascii="仿宋" w:hAnsi="仿宋" w:eastAsia="仿宋" w:cs="仿宋"/>
                <w:b w:val="0"/>
                <w:bCs w:val="0"/>
                <w:color w:val="0000FF"/>
                <w:sz w:val="24"/>
                <w:highlight w:val="none"/>
                <w:lang w:val="en-US" w:eastAsia="zh-CN"/>
              </w:rPr>
              <w:t>重大事件需于30分钟内赶到现场处理(若供应商的注册地址不属于本项目所在地，则需提供项目所在地的分公司或者办事处的相关证明材料）。</w:t>
            </w:r>
          </w:p>
        </w:tc>
        <w:tc>
          <w:tcPr>
            <w:tcW w:w="3176" w:type="dxa"/>
            <w:tcBorders>
              <w:righ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c>
          <w:tcPr>
            <w:tcW w:w="1253" w:type="dxa"/>
            <w:tcBorders>
              <w:lef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8" w:hRule="atLeast"/>
        </w:trPr>
        <w:tc>
          <w:tcPr>
            <w:tcW w:w="4431" w:type="dxa"/>
            <w:noWrap w:val="0"/>
            <w:vAlign w:val="top"/>
          </w:tcPr>
          <w:p>
            <w:pPr>
              <w:widowControl/>
              <w:spacing w:line="360" w:lineRule="auto"/>
              <w:jc w:val="left"/>
              <w:rPr>
                <w:rFonts w:hint="eastAsia" w:ascii="仿宋" w:hAnsi="仿宋" w:eastAsia="仿宋" w:cs="仿宋"/>
                <w:b w:val="0"/>
                <w:bCs/>
                <w:color w:val="auto"/>
                <w:sz w:val="24"/>
                <w:highlight w:val="none"/>
                <w:lang w:eastAsia="zh-CN"/>
              </w:rPr>
            </w:pPr>
            <w:r>
              <w:rPr>
                <w:rFonts w:hint="eastAsia" w:ascii="仿宋" w:hAnsi="仿宋" w:eastAsia="仿宋" w:cs="仿宋"/>
                <w:b w:val="0"/>
                <w:bCs w:val="0"/>
                <w:color w:val="auto"/>
                <w:sz w:val="24"/>
                <w:highlight w:val="none"/>
                <w:lang w:val="en-US" w:eastAsia="zh-CN"/>
              </w:rPr>
              <w:t>4、配备作业车辆及配套设备，须提供车辆的相关资料吸粪工程车辆凭证证明复印件或含供应商信息的行驶证证明复印件。</w:t>
            </w:r>
          </w:p>
        </w:tc>
        <w:tc>
          <w:tcPr>
            <w:tcW w:w="3176" w:type="dxa"/>
            <w:tcBorders>
              <w:righ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c>
          <w:tcPr>
            <w:tcW w:w="1253" w:type="dxa"/>
            <w:tcBorders>
              <w:lef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r>
    </w:tbl>
    <w:p>
      <w:pPr>
        <w:pStyle w:val="2"/>
        <w:numPr>
          <w:ilvl w:val="0"/>
          <w:numId w:val="0"/>
        </w:num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6"/>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6"/>
        <w:spacing w:line="400" w:lineRule="exact"/>
        <w:jc w:val="left"/>
        <w:rPr>
          <w:b/>
          <w:bCs/>
        </w:rPr>
      </w:pPr>
      <w:r>
        <w:rPr>
          <w:b/>
          <w:bCs/>
        </w:rPr>
        <w:t>说明：</w:t>
      </w:r>
    </w:p>
    <w:p>
      <w:pPr>
        <w:pStyle w:val="6"/>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6"/>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6"/>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10.商务要求偏离表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27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59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6"/>
              <w:snapToGrid w:val="0"/>
              <w:ind w:left="-105" w:leftChars="-50" w:right="-105" w:rightChars="-50"/>
              <w:jc w:val="center"/>
              <w:rPr>
                <w:sz w:val="24"/>
                <w:szCs w:val="24"/>
                <w:lang w:val="en-US" w:eastAsia="zh-CN"/>
              </w:rPr>
            </w:pPr>
            <w:r>
              <w:rPr>
                <w:rFonts w:hint="eastAsia" w:hAnsi="宋体"/>
                <w:color w:val="auto"/>
                <w:sz w:val="24"/>
                <w:szCs w:val="24"/>
                <w:lang w:eastAsia="zh-CN"/>
              </w:rPr>
              <w:t>商务</w:t>
            </w:r>
            <w:r>
              <w:rPr>
                <w:color w:val="auto"/>
                <w:sz w:val="24"/>
                <w:szCs w:val="24"/>
                <w:lang w:val="en-US" w:eastAsia="zh-CN"/>
              </w:rPr>
              <w:t>偏</w:t>
            </w:r>
            <w:r>
              <w:rPr>
                <w:sz w:val="24"/>
                <w:szCs w:val="24"/>
                <w:lang w:val="en-US" w:eastAsia="zh-CN"/>
              </w:rPr>
              <w:t>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1</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服务时间：自双方签订合同起1年。</w:t>
            </w:r>
          </w:p>
          <w:p>
            <w:pPr>
              <w:pStyle w:val="6"/>
              <w:snapToGrid w:val="0"/>
              <w:jc w:val="left"/>
              <w:rPr>
                <w:sz w:val="24"/>
                <w:szCs w:val="24"/>
                <w:lang w:val="en-US" w:eastAsia="zh-CN"/>
              </w:rPr>
            </w:pPr>
            <w:r>
              <w:rPr>
                <w:rFonts w:hint="eastAsia"/>
                <w:sz w:val="24"/>
                <w:szCs w:val="24"/>
                <w:lang w:val="en-US" w:eastAsia="zh-CN"/>
              </w:rPr>
              <w:t>项目</w:t>
            </w:r>
            <w:bookmarkStart w:id="2" w:name="_GoBack"/>
            <w:bookmarkEnd w:id="2"/>
            <w:r>
              <w:rPr>
                <w:rFonts w:hint="eastAsia"/>
                <w:sz w:val="24"/>
                <w:szCs w:val="24"/>
                <w:lang w:val="en-US" w:eastAsia="zh-CN"/>
              </w:rPr>
              <w:t>地点：梧州市人民医院。</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2</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报价要求：本项目总报价价格采用包干方式（维修另计），项目中的相关劳务、管理、材料、维护、保险、利润、税金、政策性文件规定的各项费用及所有风险、责任，请供应商自行考虑报价。</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4"/>
                <w:szCs w:val="24"/>
                <w:lang w:val="en-US" w:eastAsia="zh-CN"/>
              </w:rPr>
            </w:pPr>
            <w:r>
              <w:rPr>
                <w:rFonts w:hint="eastAsia"/>
                <w:color w:val="auto"/>
                <w:sz w:val="24"/>
                <w:szCs w:val="24"/>
                <w:lang w:val="en-US" w:eastAsia="zh-CN"/>
              </w:rPr>
              <w:t>3</w:t>
            </w:r>
          </w:p>
        </w:tc>
        <w:tc>
          <w:tcPr>
            <w:tcW w:w="4273" w:type="dxa"/>
            <w:noWrap w:val="0"/>
            <w:vAlign w:val="center"/>
          </w:tcPr>
          <w:p>
            <w:pPr>
              <w:pStyle w:val="6"/>
              <w:snapToGrid w:val="0"/>
              <w:jc w:val="left"/>
              <w:rPr>
                <w:color w:val="auto"/>
                <w:sz w:val="24"/>
                <w:szCs w:val="24"/>
                <w:lang w:val="en-US" w:eastAsia="zh-CN"/>
              </w:rPr>
            </w:pPr>
            <w:r>
              <w:rPr>
                <w:rFonts w:hint="eastAsia"/>
                <w:color w:val="auto"/>
                <w:sz w:val="24"/>
                <w:szCs w:val="24"/>
                <w:lang w:val="en-US" w:eastAsia="zh-CN"/>
              </w:rPr>
              <w:t>付款方式：支付周期为季度结算，结算款与考核挂钩。即每个季度期满，服务商按考核结果开具正规发票给采购人，采购人30个工作日内向服务商支付上季度结算款。</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4</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验收标准：</w:t>
            </w:r>
          </w:p>
          <w:p>
            <w:pPr>
              <w:pStyle w:val="6"/>
              <w:snapToGrid w:val="0"/>
              <w:jc w:val="left"/>
              <w:rPr>
                <w:sz w:val="24"/>
                <w:szCs w:val="24"/>
                <w:lang w:val="en-US" w:eastAsia="zh-CN"/>
              </w:rPr>
            </w:pPr>
            <w:r>
              <w:rPr>
                <w:rFonts w:hint="eastAsia"/>
                <w:sz w:val="24"/>
                <w:szCs w:val="24"/>
                <w:lang w:val="en-US" w:eastAsia="zh-CN"/>
              </w:rPr>
              <w:t>符合现行国家相关标准、行业标准、地方标准或者其他标准、规范，包含但不限于</w:t>
            </w:r>
            <w:r>
              <w:rPr>
                <w:rFonts w:hint="eastAsia"/>
                <w:sz w:val="24"/>
                <w:szCs w:val="24"/>
                <w:highlight w:val="none"/>
                <w:lang w:val="en-US" w:eastAsia="zh-CN"/>
              </w:rPr>
              <w:t>每次清运后，由院方核实服务成果等。</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rPr>
      </w:pPr>
      <w:r>
        <w:rPr>
          <w:b/>
          <w:bCs/>
        </w:rPr>
        <w:t>说明：</w:t>
      </w:r>
    </w:p>
    <w:p>
      <w:pPr>
        <w:pStyle w:val="6"/>
        <w:spacing w:line="320" w:lineRule="exact"/>
        <w:ind w:left="315" w:hanging="300" w:hangingChars="150"/>
        <w:jc w:val="left"/>
      </w:pPr>
      <w:r>
        <w:t>1、供应商必须根据所提供的产品和服务的实际情况对</w:t>
      </w:r>
      <w:r>
        <w:rPr>
          <w:rFonts w:hint="eastAsia"/>
          <w:lang w:eastAsia="zh-CN"/>
        </w:rPr>
        <w:t>项目的商务</w:t>
      </w:r>
      <w:r>
        <w:t>条款</w:t>
      </w:r>
      <w:r>
        <w:rPr>
          <w:rFonts w:hint="eastAsia"/>
          <w:lang w:eastAsia="zh-CN"/>
        </w:rPr>
        <w:t>内容</w:t>
      </w:r>
      <w:r>
        <w:t>相关偏离的条目如实填写响应表。</w:t>
      </w:r>
    </w:p>
    <w:p>
      <w:pPr>
        <w:pStyle w:val="6"/>
        <w:spacing w:line="320" w:lineRule="exact"/>
        <w:ind w:left="315" w:hanging="300" w:hangingChars="150"/>
        <w:jc w:val="left"/>
      </w:pPr>
      <w:r>
        <w:rPr>
          <w:rFonts w:hint="eastAsia"/>
          <w:lang w:val="en-US" w:eastAsia="zh-CN"/>
        </w:rPr>
        <w:t>2</w:t>
      </w:r>
      <w:r>
        <w:t>、是否偏离用符号“+、=、-”分别表示正偏离、完全响应、负偏离。</w:t>
      </w:r>
    </w:p>
    <w:p>
      <w:pPr>
        <w:pStyle w:val="6"/>
        <w:spacing w:line="320" w:lineRule="exact"/>
        <w:ind w:left="315" w:hanging="300" w:hangingChars="150"/>
        <w:jc w:val="left"/>
      </w:pPr>
      <w:r>
        <w:rPr>
          <w:rFonts w:hint="eastAsia"/>
          <w:lang w:val="en-US" w:eastAsia="zh-CN"/>
        </w:rPr>
        <w:t>3</w:t>
      </w:r>
      <w:r>
        <w:t>、评</w:t>
      </w:r>
      <w:r>
        <w:rPr>
          <w:rFonts w:hint="eastAsia"/>
          <w:lang w:eastAsia="zh-CN"/>
        </w:rPr>
        <w:t>审</w:t>
      </w:r>
      <w:r>
        <w:t>小组发现供应商有虚假描述的，</w:t>
      </w:r>
      <w:r>
        <w:rPr>
          <w:rFonts w:hAnsi="宋体"/>
          <w:bCs/>
        </w:rPr>
        <w:t>视为响应无效</w:t>
      </w:r>
      <w:r>
        <w:t>。</w:t>
      </w:r>
    </w:p>
    <w:p>
      <w:pPr>
        <w:rPr>
          <w:rFonts w:hint="eastAsia" w:ascii="宋体" w:hAnsi="宋体" w:cs="宋体"/>
          <w:b/>
          <w:color w:val="auto"/>
          <w:szCs w:val="21"/>
          <w:highlight w:val="none"/>
          <w:lang w:eastAsia="zh-CN"/>
        </w:rPr>
      </w:pPr>
      <w: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服务承诺</w:t>
      </w:r>
      <w:r>
        <w:rPr>
          <w:rFonts w:hint="eastAsia" w:ascii="宋体" w:hAnsi="宋体" w:eastAsia="宋体" w:cs="宋体"/>
          <w:b/>
          <w:color w:val="auto"/>
          <w:szCs w:val="21"/>
          <w:highlight w:val="none"/>
          <w:lang w:val="en-US" w:eastAsia="zh-CN"/>
        </w:rPr>
        <w:t>（格式自拟）</w:t>
      </w:r>
    </w:p>
    <w:p>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w:t>
      </w:r>
      <w:r>
        <w:rPr>
          <w:rFonts w:hint="eastAsia" w:cs="Times New Roman"/>
          <w:b w:val="0"/>
          <w:bCs/>
          <w:color w:val="auto"/>
          <w:kern w:val="2"/>
          <w:sz w:val="21"/>
          <w:szCs w:val="21"/>
          <w:highlight w:val="none"/>
          <w:lang w:val="en-US" w:eastAsia="zh-CN" w:bidi="ar-SA"/>
        </w:rPr>
        <w:t>。</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2D31323"/>
    <w:rsid w:val="03852133"/>
    <w:rsid w:val="03CB1C79"/>
    <w:rsid w:val="03F1544C"/>
    <w:rsid w:val="047E67C6"/>
    <w:rsid w:val="05F311C2"/>
    <w:rsid w:val="06506CDE"/>
    <w:rsid w:val="06DB1016"/>
    <w:rsid w:val="0702727A"/>
    <w:rsid w:val="08291606"/>
    <w:rsid w:val="090425C3"/>
    <w:rsid w:val="09A2061D"/>
    <w:rsid w:val="09C14406"/>
    <w:rsid w:val="09EA42CB"/>
    <w:rsid w:val="09F97601"/>
    <w:rsid w:val="0A8B20DB"/>
    <w:rsid w:val="0A9954E7"/>
    <w:rsid w:val="0AF3146A"/>
    <w:rsid w:val="0C0753D9"/>
    <w:rsid w:val="0C745B06"/>
    <w:rsid w:val="0E5F2A26"/>
    <w:rsid w:val="0EE07859"/>
    <w:rsid w:val="0F1312BB"/>
    <w:rsid w:val="0F9539A9"/>
    <w:rsid w:val="0FCB742D"/>
    <w:rsid w:val="0FE84EA0"/>
    <w:rsid w:val="128F7865"/>
    <w:rsid w:val="13812A26"/>
    <w:rsid w:val="147521B1"/>
    <w:rsid w:val="14866069"/>
    <w:rsid w:val="165E0E69"/>
    <w:rsid w:val="16D15EDA"/>
    <w:rsid w:val="16EC4B78"/>
    <w:rsid w:val="17E32DA4"/>
    <w:rsid w:val="17EF03C8"/>
    <w:rsid w:val="185E1261"/>
    <w:rsid w:val="18EA0460"/>
    <w:rsid w:val="18F86C11"/>
    <w:rsid w:val="1938083B"/>
    <w:rsid w:val="1A323180"/>
    <w:rsid w:val="1A7A68F2"/>
    <w:rsid w:val="1CD64190"/>
    <w:rsid w:val="1ED35123"/>
    <w:rsid w:val="1FDA5520"/>
    <w:rsid w:val="1FE06281"/>
    <w:rsid w:val="20C2039F"/>
    <w:rsid w:val="231E2290"/>
    <w:rsid w:val="247340A9"/>
    <w:rsid w:val="25034756"/>
    <w:rsid w:val="255C2222"/>
    <w:rsid w:val="27BC21D4"/>
    <w:rsid w:val="27E4645B"/>
    <w:rsid w:val="282339FA"/>
    <w:rsid w:val="288040E5"/>
    <w:rsid w:val="29265B68"/>
    <w:rsid w:val="294D2BB7"/>
    <w:rsid w:val="294F6476"/>
    <w:rsid w:val="29D07D3B"/>
    <w:rsid w:val="29DC3D4A"/>
    <w:rsid w:val="2A480124"/>
    <w:rsid w:val="2A795BF4"/>
    <w:rsid w:val="2A7E7711"/>
    <w:rsid w:val="2AC50187"/>
    <w:rsid w:val="2B160ACF"/>
    <w:rsid w:val="2B746227"/>
    <w:rsid w:val="2CC11469"/>
    <w:rsid w:val="2D1957A2"/>
    <w:rsid w:val="2DFD1B5A"/>
    <w:rsid w:val="2F1C6C03"/>
    <w:rsid w:val="2F2A5A7F"/>
    <w:rsid w:val="31581161"/>
    <w:rsid w:val="31D05343"/>
    <w:rsid w:val="3243493F"/>
    <w:rsid w:val="33791A1A"/>
    <w:rsid w:val="34633C5E"/>
    <w:rsid w:val="34C5784F"/>
    <w:rsid w:val="362736AE"/>
    <w:rsid w:val="368A4024"/>
    <w:rsid w:val="37A73E1D"/>
    <w:rsid w:val="3886699A"/>
    <w:rsid w:val="38DE5E4E"/>
    <w:rsid w:val="39061499"/>
    <w:rsid w:val="39401A89"/>
    <w:rsid w:val="3AA907D9"/>
    <w:rsid w:val="3D0A49B1"/>
    <w:rsid w:val="3D752A12"/>
    <w:rsid w:val="411C7D8F"/>
    <w:rsid w:val="420740C1"/>
    <w:rsid w:val="42526683"/>
    <w:rsid w:val="429678BD"/>
    <w:rsid w:val="43A61C8B"/>
    <w:rsid w:val="44A33F09"/>
    <w:rsid w:val="457E395D"/>
    <w:rsid w:val="45C21FDC"/>
    <w:rsid w:val="45F53672"/>
    <w:rsid w:val="4685058A"/>
    <w:rsid w:val="480310F5"/>
    <w:rsid w:val="48556D1C"/>
    <w:rsid w:val="486D24FC"/>
    <w:rsid w:val="489570F6"/>
    <w:rsid w:val="48F03D73"/>
    <w:rsid w:val="4A560C51"/>
    <w:rsid w:val="4AE41C16"/>
    <w:rsid w:val="4CBA0C7F"/>
    <w:rsid w:val="4CC032D8"/>
    <w:rsid w:val="4E457949"/>
    <w:rsid w:val="4E5424E0"/>
    <w:rsid w:val="4E671B98"/>
    <w:rsid w:val="4E814B23"/>
    <w:rsid w:val="50175EE1"/>
    <w:rsid w:val="52A50E7E"/>
    <w:rsid w:val="5412330C"/>
    <w:rsid w:val="54BC351D"/>
    <w:rsid w:val="55346759"/>
    <w:rsid w:val="55697A67"/>
    <w:rsid w:val="55C81178"/>
    <w:rsid w:val="56375162"/>
    <w:rsid w:val="57890B38"/>
    <w:rsid w:val="57CE4182"/>
    <w:rsid w:val="58EC5AAA"/>
    <w:rsid w:val="58FC1CF7"/>
    <w:rsid w:val="5AB70B1C"/>
    <w:rsid w:val="5AE76BBD"/>
    <w:rsid w:val="5B95211B"/>
    <w:rsid w:val="5DA738E9"/>
    <w:rsid w:val="5F1A313C"/>
    <w:rsid w:val="5F1D1DDA"/>
    <w:rsid w:val="5FAC076E"/>
    <w:rsid w:val="5FC42D7A"/>
    <w:rsid w:val="611658CA"/>
    <w:rsid w:val="61B94672"/>
    <w:rsid w:val="61C57F31"/>
    <w:rsid w:val="61F948E3"/>
    <w:rsid w:val="62EF2A3B"/>
    <w:rsid w:val="6300422E"/>
    <w:rsid w:val="630F7C96"/>
    <w:rsid w:val="64444EAC"/>
    <w:rsid w:val="65A501DF"/>
    <w:rsid w:val="662743C2"/>
    <w:rsid w:val="66B927F1"/>
    <w:rsid w:val="66C87F1B"/>
    <w:rsid w:val="6736098D"/>
    <w:rsid w:val="676B1230"/>
    <w:rsid w:val="67735D70"/>
    <w:rsid w:val="677A1E2C"/>
    <w:rsid w:val="67A74BA6"/>
    <w:rsid w:val="69465C93"/>
    <w:rsid w:val="6984407E"/>
    <w:rsid w:val="69955D14"/>
    <w:rsid w:val="6BF90764"/>
    <w:rsid w:val="6C023B4D"/>
    <w:rsid w:val="6D066739"/>
    <w:rsid w:val="6D8F78A1"/>
    <w:rsid w:val="6E270E14"/>
    <w:rsid w:val="727D4D4D"/>
    <w:rsid w:val="737D6F9E"/>
    <w:rsid w:val="749E38AC"/>
    <w:rsid w:val="75F02428"/>
    <w:rsid w:val="77F60E6F"/>
    <w:rsid w:val="79DC7CD7"/>
    <w:rsid w:val="7A516C5D"/>
    <w:rsid w:val="7A7F0BD5"/>
    <w:rsid w:val="7ACC4140"/>
    <w:rsid w:val="7AE91CAD"/>
    <w:rsid w:val="7BA51112"/>
    <w:rsid w:val="7BFE6DDE"/>
    <w:rsid w:val="7C5B0BDE"/>
    <w:rsid w:val="7CAA04AC"/>
    <w:rsid w:val="7CC854A4"/>
    <w:rsid w:val="7D18448D"/>
    <w:rsid w:val="7D1E478A"/>
    <w:rsid w:val="7DAF2EB2"/>
    <w:rsid w:val="7E537BE3"/>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cp:lastPrinted>2026-02-14T01:49:00Z</cp:lastPrinted>
  <dcterms:modified xsi:type="dcterms:W3CDTF">2026-04-24T00:04:03Z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